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大飞沙湾招商项目评分</w:t>
      </w:r>
      <w:bookmarkStart w:id="0" w:name="_GoBack"/>
      <w:bookmarkEnd w:id="0"/>
      <w:r>
        <w:rPr>
          <w:rFonts w:hint="eastAsia" w:ascii="黑体" w:hAnsi="黑体" w:eastAsia="黑体" w:cs="黑体"/>
          <w:sz w:val="44"/>
          <w:szCs w:val="44"/>
          <w:lang w:val="en-US" w:eastAsia="zh-CN"/>
        </w:rPr>
        <w:t>标准</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（综合评分法）</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一、评分总则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本次招商采用综合评分法，满分100分。评分小组将根据各意向合作单位提交的正式文件，按照以下评分标准进行打分，得分最高的单位为项目合作候选人。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二、评分细则</w:t>
      </w:r>
    </w:p>
    <w:tbl>
      <w:tblPr>
        <w:tblStyle w:val="4"/>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7"/>
        <w:gridCol w:w="720"/>
        <w:gridCol w:w="765"/>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rPr>
                <w:rFonts w:hint="default"/>
                <w:vertAlign w:val="baseline"/>
                <w:lang w:val="en-US" w:eastAsia="zh-CN"/>
              </w:rPr>
            </w:pPr>
            <w:r>
              <w:rPr>
                <w:rFonts w:hint="eastAsia"/>
                <w:vertAlign w:val="baseline"/>
                <w:lang w:val="en-US" w:eastAsia="zh-CN"/>
              </w:rPr>
              <w:t>序号</w:t>
            </w:r>
          </w:p>
        </w:tc>
        <w:tc>
          <w:tcPr>
            <w:tcW w:w="837" w:type="dxa"/>
          </w:tcPr>
          <w:p>
            <w:pPr>
              <w:rPr>
                <w:rFonts w:hint="eastAsia"/>
                <w:vertAlign w:val="baseline"/>
                <w:lang w:val="en-US" w:eastAsia="zh-CN"/>
              </w:rPr>
            </w:pPr>
            <w:r>
              <w:rPr>
                <w:rFonts w:hint="eastAsia"/>
                <w:vertAlign w:val="baseline"/>
                <w:lang w:val="en-US" w:eastAsia="zh-CN"/>
              </w:rPr>
              <w:t>评审</w:t>
            </w:r>
          </w:p>
          <w:p>
            <w:pPr>
              <w:rPr>
                <w:rFonts w:hint="default"/>
                <w:vertAlign w:val="baseline"/>
                <w:lang w:val="en-US" w:eastAsia="zh-CN"/>
              </w:rPr>
            </w:pPr>
            <w:r>
              <w:rPr>
                <w:rFonts w:hint="eastAsia"/>
                <w:vertAlign w:val="baseline"/>
                <w:lang w:val="en-US" w:eastAsia="zh-CN"/>
              </w:rPr>
              <w:t>因素</w:t>
            </w:r>
          </w:p>
        </w:tc>
        <w:tc>
          <w:tcPr>
            <w:tcW w:w="720" w:type="dxa"/>
          </w:tcPr>
          <w:p>
            <w:pPr>
              <w:rPr>
                <w:rFonts w:hint="eastAsia"/>
                <w:vertAlign w:val="baseline"/>
                <w:lang w:val="en-US" w:eastAsia="zh-CN"/>
              </w:rPr>
            </w:pPr>
            <w:r>
              <w:rPr>
                <w:rFonts w:hint="eastAsia"/>
                <w:vertAlign w:val="baseline"/>
                <w:lang w:val="en-US" w:eastAsia="zh-CN"/>
              </w:rPr>
              <w:t>评审</w:t>
            </w:r>
          </w:p>
          <w:p>
            <w:pPr>
              <w:rPr>
                <w:rFonts w:hint="default"/>
                <w:vertAlign w:val="baseline"/>
                <w:lang w:val="en-US" w:eastAsia="zh-CN"/>
              </w:rPr>
            </w:pPr>
            <w:r>
              <w:rPr>
                <w:rFonts w:hint="eastAsia"/>
                <w:vertAlign w:val="baseline"/>
                <w:lang w:val="en-US" w:eastAsia="zh-CN"/>
              </w:rPr>
              <w:t>内容</w:t>
            </w:r>
          </w:p>
        </w:tc>
        <w:tc>
          <w:tcPr>
            <w:tcW w:w="765" w:type="dxa"/>
          </w:tcPr>
          <w:p>
            <w:pPr>
              <w:rPr>
                <w:rFonts w:hint="default"/>
                <w:vertAlign w:val="baseline"/>
                <w:lang w:val="en-US" w:eastAsia="zh-CN"/>
              </w:rPr>
            </w:pPr>
            <w:r>
              <w:rPr>
                <w:rFonts w:hint="eastAsia"/>
                <w:vertAlign w:val="baseline"/>
                <w:lang w:val="en-US" w:eastAsia="zh-CN"/>
              </w:rPr>
              <w:t>标准分</w:t>
            </w:r>
          </w:p>
        </w:tc>
        <w:tc>
          <w:tcPr>
            <w:tcW w:w="5955" w:type="dxa"/>
          </w:tcPr>
          <w:p>
            <w:pPr>
              <w:rPr>
                <w:rFonts w:hint="default"/>
                <w:vertAlign w:val="baseline"/>
                <w:lang w:val="en-US" w:eastAsia="zh-CN"/>
              </w:rPr>
            </w:pPr>
            <w:r>
              <w:rPr>
                <w:rFonts w:hint="eastAsia"/>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rPr>
                <w:rFonts w:hint="default"/>
                <w:vertAlign w:val="baseline"/>
                <w:lang w:val="en-US" w:eastAsia="zh-CN"/>
              </w:rPr>
            </w:pPr>
            <w:r>
              <w:rPr>
                <w:rFonts w:hint="eastAsia"/>
                <w:vertAlign w:val="baseline"/>
                <w:lang w:val="en-US" w:eastAsia="zh-CN"/>
              </w:rPr>
              <w:t>1</w:t>
            </w:r>
          </w:p>
        </w:tc>
        <w:tc>
          <w:tcPr>
            <w:tcW w:w="837" w:type="dxa"/>
            <w:vMerge w:val="restart"/>
          </w:tcPr>
          <w:p>
            <w:pPr>
              <w:rPr>
                <w:rFonts w:hint="default"/>
                <w:vertAlign w:val="baseline"/>
                <w:lang w:val="en-US" w:eastAsia="zh-CN"/>
              </w:rPr>
            </w:pPr>
            <w:r>
              <w:rPr>
                <w:rFonts w:hint="eastAsia"/>
                <w:vertAlign w:val="baseline"/>
                <w:lang w:val="en-US" w:eastAsia="zh-CN"/>
              </w:rPr>
              <w:t>企业资质（共10分）</w:t>
            </w:r>
          </w:p>
        </w:tc>
        <w:tc>
          <w:tcPr>
            <w:tcW w:w="720" w:type="dxa"/>
          </w:tcPr>
          <w:p>
            <w:pPr>
              <w:rPr>
                <w:rFonts w:hint="default"/>
                <w:vertAlign w:val="baseline"/>
                <w:lang w:val="en-US" w:eastAsia="zh-CN"/>
              </w:rPr>
            </w:pPr>
            <w:r>
              <w:rPr>
                <w:rFonts w:hint="eastAsia"/>
                <w:vertAlign w:val="baseline"/>
                <w:lang w:val="en-US" w:eastAsia="zh-CN"/>
              </w:rPr>
              <w:t>企业实缴资金</w:t>
            </w:r>
          </w:p>
        </w:tc>
        <w:tc>
          <w:tcPr>
            <w:tcW w:w="765" w:type="dxa"/>
          </w:tcPr>
          <w:p>
            <w:pPr>
              <w:rPr>
                <w:rFonts w:hint="default"/>
                <w:vertAlign w:val="baseline"/>
                <w:lang w:val="en-US" w:eastAsia="zh-CN"/>
              </w:rPr>
            </w:pPr>
            <w:r>
              <w:rPr>
                <w:rFonts w:hint="eastAsia"/>
                <w:vertAlign w:val="baseline"/>
                <w:lang w:val="en-US" w:eastAsia="zh-CN"/>
              </w:rPr>
              <w:t>5分</w:t>
            </w:r>
          </w:p>
        </w:tc>
        <w:tc>
          <w:tcPr>
            <w:tcW w:w="5955" w:type="dxa"/>
          </w:tcPr>
          <w:p>
            <w:pPr>
              <w:rPr>
                <w:rFonts w:hint="default"/>
                <w:lang w:val="en-US" w:eastAsia="zh-CN"/>
              </w:rPr>
            </w:pPr>
            <w:r>
              <w:rPr>
                <w:rFonts w:hint="eastAsia"/>
                <w:lang w:val="en-US" w:eastAsia="zh-CN"/>
              </w:rPr>
              <w:t>企业实缴资</w:t>
            </w:r>
            <w:r>
              <w:rPr>
                <w:rFonts w:hint="default"/>
                <w:lang w:val="en-US" w:eastAsia="zh-CN"/>
              </w:rPr>
              <w:t xml:space="preserve">金在 </w:t>
            </w:r>
            <w:r>
              <w:rPr>
                <w:rFonts w:hint="eastAsia"/>
                <w:lang w:val="en-US" w:eastAsia="zh-CN"/>
              </w:rPr>
              <w:t>50</w:t>
            </w:r>
            <w:r>
              <w:rPr>
                <w:rFonts w:hint="default"/>
                <w:lang w:val="en-US" w:eastAsia="zh-CN"/>
              </w:rPr>
              <w:t>万元及以上的，得 5 分；</w:t>
            </w:r>
          </w:p>
          <w:p>
            <w:pPr>
              <w:rPr>
                <w:rFonts w:hint="default"/>
                <w:lang w:val="en-US" w:eastAsia="zh-CN"/>
              </w:rPr>
            </w:pPr>
            <w:r>
              <w:rPr>
                <w:rFonts w:hint="default"/>
                <w:lang w:val="en-US" w:eastAsia="zh-CN"/>
              </w:rPr>
              <w:t>其</w:t>
            </w:r>
            <w:r>
              <w:rPr>
                <w:rFonts w:hint="eastAsia"/>
                <w:lang w:val="en-US" w:eastAsia="zh-CN"/>
              </w:rPr>
              <w:t>他情况</w:t>
            </w:r>
            <w:r>
              <w:rPr>
                <w:rFonts w:hint="default"/>
                <w:lang w:val="en-US" w:eastAsia="zh-CN"/>
              </w:rPr>
              <w:t>按照下列公式计算：得分 =（</w:t>
            </w:r>
            <w:r>
              <w:rPr>
                <w:rFonts w:hint="eastAsia"/>
                <w:lang w:val="en-US" w:eastAsia="zh-CN"/>
              </w:rPr>
              <w:t>意向合作单位实缴资金/50万</w:t>
            </w:r>
            <w:r>
              <w:rPr>
                <w:rFonts w:hint="default"/>
                <w:lang w:val="en-US" w:eastAsia="zh-CN"/>
              </w:rPr>
              <w:t xml:space="preserve">）× </w:t>
            </w:r>
            <w:r>
              <w:rPr>
                <w:rFonts w:hint="eastAsia"/>
                <w:lang w:val="en-US" w:eastAsia="zh-CN"/>
              </w:rPr>
              <w:t>5</w:t>
            </w:r>
            <w:r>
              <w:rPr>
                <w:rFonts w:hint="default"/>
                <w:lang w:val="en-US" w:eastAsia="zh-CN"/>
              </w:rPr>
              <w:t xml:space="preserve"> 。</w:t>
            </w:r>
          </w:p>
          <w:p>
            <w:pPr>
              <w:rPr>
                <w:rFonts w:hint="default"/>
                <w:vertAlign w:val="baseline"/>
                <w:lang w:val="en-US" w:eastAsia="zh-CN"/>
              </w:rPr>
            </w:pPr>
            <w:r>
              <w:rPr>
                <w:rFonts w:hint="default"/>
                <w:lang w:val="en-US" w:eastAsia="zh-CN"/>
              </w:rPr>
              <w:t>注：需提供营业执照副本复印件及相关证明材料，以证明其</w:t>
            </w:r>
            <w:r>
              <w:rPr>
                <w:rFonts w:hint="eastAsia"/>
                <w:lang w:val="en-US" w:eastAsia="zh-CN"/>
              </w:rPr>
              <w:t>实缴资</w:t>
            </w:r>
            <w:r>
              <w:rPr>
                <w:rFonts w:hint="default"/>
                <w:lang w:val="en-US" w:eastAsia="zh-CN"/>
              </w:rPr>
              <w:t>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过往案例</w:t>
            </w:r>
          </w:p>
        </w:tc>
        <w:tc>
          <w:tcPr>
            <w:tcW w:w="765" w:type="dxa"/>
          </w:tcPr>
          <w:p>
            <w:pP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5分</w:t>
            </w:r>
          </w:p>
        </w:tc>
        <w:tc>
          <w:tcPr>
            <w:tcW w:w="5955" w:type="dxa"/>
          </w:tcPr>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2022年至今经营</w:t>
            </w:r>
            <w:r>
              <w:rPr>
                <w:rFonts w:hint="default"/>
                <w:color w:val="000000" w:themeColor="text1"/>
                <w:lang w:val="en-US" w:eastAsia="zh-CN"/>
                <w14:textFill>
                  <w14:solidFill>
                    <w14:schemeClr w14:val="tx1"/>
                  </w14:solidFill>
                </w14:textFill>
              </w:rPr>
              <w:t>至少</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个</w:t>
            </w:r>
            <w:r>
              <w:rPr>
                <w:rFonts w:hint="eastAsia"/>
                <w:color w:val="000000" w:themeColor="text1"/>
                <w:lang w:val="en-US" w:eastAsia="zh-CN"/>
                <w14:textFill>
                  <w14:solidFill>
                    <w14:schemeClr w14:val="tx1"/>
                  </w14:solidFill>
                </w14:textFill>
              </w:rPr>
              <w:t>滨海/文旅</w:t>
            </w:r>
            <w:r>
              <w:rPr>
                <w:rFonts w:hint="default"/>
                <w:color w:val="000000" w:themeColor="text1"/>
                <w:lang w:val="en-US" w:eastAsia="zh-CN"/>
                <w14:textFill>
                  <w14:solidFill>
                    <w14:schemeClr w14:val="tx1"/>
                  </w14:solidFill>
                </w14:textFill>
              </w:rPr>
              <w:t>项目，得</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分；有2个</w:t>
            </w:r>
            <w:r>
              <w:rPr>
                <w:rFonts w:hint="eastAsia"/>
                <w:color w:val="000000" w:themeColor="text1"/>
                <w:lang w:val="en-US" w:eastAsia="zh-CN"/>
                <w14:textFill>
                  <w14:solidFill>
                    <w14:schemeClr w14:val="tx1"/>
                  </w14:solidFill>
                </w14:textFill>
              </w:rPr>
              <w:t>项目</w:t>
            </w:r>
            <w:r>
              <w:rPr>
                <w:rFonts w:hint="default"/>
                <w:color w:val="000000" w:themeColor="text1"/>
                <w:lang w:val="en-US" w:eastAsia="zh-CN"/>
                <w14:textFill>
                  <w14:solidFill>
                    <w14:schemeClr w14:val="tx1"/>
                  </w14:solidFill>
                </w14:textFill>
              </w:rPr>
              <w:t>的，得</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分；有</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个</w:t>
            </w:r>
            <w:r>
              <w:rPr>
                <w:rFonts w:hint="eastAsia"/>
                <w:color w:val="000000" w:themeColor="text1"/>
                <w:lang w:val="en-US" w:eastAsia="zh-CN"/>
                <w14:textFill>
                  <w14:solidFill>
                    <w14:schemeClr w14:val="tx1"/>
                  </w14:solidFill>
                </w14:textFill>
              </w:rPr>
              <w:t>项目</w:t>
            </w:r>
            <w:r>
              <w:rPr>
                <w:rFonts w:hint="default"/>
                <w:color w:val="000000" w:themeColor="text1"/>
                <w:lang w:val="en-US" w:eastAsia="zh-CN"/>
                <w14:textFill>
                  <w14:solidFill>
                    <w14:schemeClr w14:val="tx1"/>
                  </w14:solidFill>
                </w14:textFill>
              </w:rPr>
              <w:t>的，得</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分；</w:t>
            </w:r>
            <w:r>
              <w:rPr>
                <w:rFonts w:hint="eastAsia"/>
                <w:color w:val="000000" w:themeColor="text1"/>
                <w:lang w:val="en-US" w:eastAsia="zh-CN"/>
                <w14:textFill>
                  <w14:solidFill>
                    <w14:schemeClr w14:val="tx1"/>
                  </w14:solidFill>
                </w14:textFill>
              </w:rPr>
              <w:t>以此类推，上限5分。</w:t>
            </w:r>
            <w:r>
              <w:rPr>
                <w:rFonts w:hint="default"/>
                <w:color w:val="000000" w:themeColor="text1"/>
                <w:lang w:val="en-US" w:eastAsia="zh-CN"/>
                <w14:textFill>
                  <w14:solidFill>
                    <w14:schemeClr w14:val="tx1"/>
                  </w14:solidFill>
                </w14:textFill>
              </w:rPr>
              <w:t>无相关</w:t>
            </w:r>
            <w:r>
              <w:rPr>
                <w:rFonts w:hint="eastAsia"/>
                <w:color w:val="000000" w:themeColor="text1"/>
                <w:lang w:val="en-US" w:eastAsia="zh-CN"/>
                <w14:textFill>
                  <w14:solidFill>
                    <w14:schemeClr w14:val="tx1"/>
                  </w14:solidFill>
                </w14:textFill>
              </w:rPr>
              <w:t>项目经验</w:t>
            </w:r>
            <w:r>
              <w:rPr>
                <w:rFonts w:hint="default"/>
                <w:color w:val="000000" w:themeColor="text1"/>
                <w:lang w:val="en-US" w:eastAsia="zh-CN"/>
                <w14:textFill>
                  <w14:solidFill>
                    <w14:schemeClr w14:val="tx1"/>
                  </w14:solidFill>
                </w14:textFill>
              </w:rPr>
              <w:t>的，得0分。</w:t>
            </w:r>
          </w:p>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注：需提供合同复印件（包含合同首页、服务内容页、合同金额页、签字盖章页）等证明材料，原件备查。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rPr>
                <w:rFonts w:hint="default"/>
                <w:vertAlign w:val="baseline"/>
                <w:lang w:val="en-US" w:eastAsia="zh-CN"/>
              </w:rPr>
            </w:pPr>
            <w:r>
              <w:rPr>
                <w:rFonts w:hint="eastAsia"/>
                <w:vertAlign w:val="baseline"/>
                <w:lang w:val="en-US" w:eastAsia="zh-CN"/>
              </w:rPr>
              <w:t>2</w:t>
            </w:r>
          </w:p>
        </w:tc>
        <w:tc>
          <w:tcPr>
            <w:tcW w:w="837" w:type="dxa"/>
            <w:vMerge w:val="restart"/>
          </w:tcPr>
          <w:p>
            <w:pPr>
              <w:rPr>
                <w:rFonts w:hint="default"/>
                <w:vertAlign w:val="baseline"/>
                <w:lang w:val="en-US" w:eastAsia="zh-CN"/>
              </w:rPr>
            </w:pPr>
            <w:r>
              <w:rPr>
                <w:rFonts w:hint="eastAsia"/>
                <w:vertAlign w:val="baseline"/>
                <w:lang w:val="en-US" w:eastAsia="zh-CN"/>
              </w:rPr>
              <w:t>安全管理（20分）</w:t>
            </w:r>
          </w:p>
        </w:tc>
        <w:tc>
          <w:tcPr>
            <w:tcW w:w="720" w:type="dxa"/>
          </w:tcPr>
          <w:p>
            <w:pP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安全管理制度</w:t>
            </w:r>
          </w:p>
        </w:tc>
        <w:tc>
          <w:tcPr>
            <w:tcW w:w="765" w:type="dxa"/>
          </w:tcPr>
          <w:p>
            <w:pP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5分</w:t>
            </w:r>
          </w:p>
        </w:tc>
        <w:tc>
          <w:tcPr>
            <w:tcW w:w="5955" w:type="dxa"/>
          </w:tcPr>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提供完善的</w:t>
            </w:r>
            <w:r>
              <w:rPr>
                <w:rFonts w:hint="eastAsia"/>
                <w:color w:val="000000" w:themeColor="text1"/>
                <w:lang w:val="en-US" w:eastAsia="zh-CN"/>
                <w14:textFill>
                  <w14:solidFill>
                    <w14:schemeClr w14:val="tx1"/>
                  </w14:solidFill>
                </w14:textFill>
              </w:rPr>
              <w:t>滨海/文旅</w:t>
            </w:r>
            <w:r>
              <w:rPr>
                <w:rFonts w:hint="default"/>
                <w:color w:val="000000" w:themeColor="text1"/>
                <w:lang w:val="en-US" w:eastAsia="zh-CN"/>
                <w14:textFill>
                  <w14:solidFill>
                    <w14:schemeClr w14:val="tx1"/>
                  </w14:solidFill>
                </w14:textFill>
              </w:rPr>
              <w:t>项目安全管理制度，涵盖设备安全、人员安全、应急救援等全面内容，且制度具有可操作性和针对性，得 4 - 5 分；</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安全管理制度较完善，但存在部分内容缺失或不够细化，得 2 - 3 分；</w:t>
            </w:r>
          </w:p>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安全管理制度基本框架存在，但内容简单、粗糙，得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安全人员配备计划</w:t>
            </w:r>
          </w:p>
        </w:tc>
        <w:tc>
          <w:tcPr>
            <w:tcW w:w="765" w:type="dxa"/>
          </w:tcPr>
          <w:p>
            <w:pP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5分</w:t>
            </w:r>
          </w:p>
        </w:tc>
        <w:tc>
          <w:tcPr>
            <w:tcW w:w="5955" w:type="dxa"/>
          </w:tcPr>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根据项目规模和需求，详细制定合理的安全人员配备计划，包括人员数量、资质要求、职责分工等，得 4 - 5 分；</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有安全人员配备计划，但不够详细或合理性一般，得 2 - 3 分；</w:t>
            </w:r>
          </w:p>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安全人员配备计划简单模糊，得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color w:val="000000" w:themeColor="text1"/>
                <w:vertAlign w:val="baseli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安全荣誉及资质</w:t>
            </w:r>
          </w:p>
        </w:tc>
        <w:tc>
          <w:tcPr>
            <w:tcW w:w="765" w:type="dxa"/>
          </w:tcPr>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 分</w:t>
            </w:r>
          </w:p>
        </w:tc>
        <w:tc>
          <w:tcPr>
            <w:tcW w:w="5955" w:type="dxa"/>
          </w:tcPr>
          <w:p>
            <w:pP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拥有国家级荣誉、表彰及资质，得3分；</w:t>
            </w:r>
          </w:p>
          <w:p>
            <w:pP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拥有省级荣誉、表彰及资质，得2分；</w:t>
            </w:r>
          </w:p>
          <w:p>
            <w:pP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拥有市级及以下荣誉、表彰及资质，得1分；</w:t>
            </w:r>
          </w:p>
          <w:p>
            <w:pP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5分封顶，超出不得分。需提供资质证书、表彰等复印件或官网截图，原件备查。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应急预案</w:t>
            </w:r>
          </w:p>
        </w:tc>
        <w:tc>
          <w:tcPr>
            <w:tcW w:w="765" w:type="dxa"/>
          </w:tcPr>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 分</w:t>
            </w:r>
          </w:p>
        </w:tc>
        <w:tc>
          <w:tcPr>
            <w:tcW w:w="5955" w:type="dxa"/>
          </w:tcPr>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具备针对</w:t>
            </w:r>
            <w:r>
              <w:rPr>
                <w:rFonts w:hint="eastAsia"/>
                <w:color w:val="000000" w:themeColor="text1"/>
                <w:lang w:val="en-US" w:eastAsia="zh-CN"/>
                <w14:textFill>
                  <w14:solidFill>
                    <w14:schemeClr w14:val="tx1"/>
                  </w14:solidFill>
                </w14:textFill>
              </w:rPr>
              <w:t>滨海/文旅</w:t>
            </w:r>
            <w:r>
              <w:rPr>
                <w:rFonts w:hint="default"/>
                <w:color w:val="000000" w:themeColor="text1"/>
                <w:lang w:val="en-US" w:eastAsia="zh-CN"/>
                <w14:textFill>
                  <w14:solidFill>
                    <w14:schemeClr w14:val="tx1"/>
                  </w14:solidFill>
                </w14:textFill>
              </w:rPr>
              <w:t>项目可能出现的各类突发事件的应急预案，如恶劣天气、设备故障、人员伤亡等，预案流程清晰、责任明确、措施有效，且有定期演练计划，得 4 - 5 分；</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有应急预案，但不够全面或演练计划不明确，得 2 - 3 分；</w:t>
            </w:r>
          </w:p>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应急预案内容简略，缺乏可操作性，得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rPr>
                <w:rFonts w:hint="default"/>
                <w:vertAlign w:val="baseline"/>
                <w:lang w:val="en-US" w:eastAsia="zh-CN"/>
              </w:rPr>
            </w:pPr>
            <w:r>
              <w:rPr>
                <w:rFonts w:hint="eastAsia"/>
                <w:vertAlign w:val="baseline"/>
                <w:lang w:val="en-US" w:eastAsia="zh-CN"/>
              </w:rPr>
              <w:t>3</w:t>
            </w:r>
          </w:p>
        </w:tc>
        <w:tc>
          <w:tcPr>
            <w:tcW w:w="837" w:type="dxa"/>
            <w:vMerge w:val="restart"/>
          </w:tcPr>
          <w:p>
            <w:pPr>
              <w:rPr>
                <w:rFonts w:hint="default"/>
                <w:vertAlign w:val="baseline"/>
                <w:lang w:val="en-US" w:eastAsia="zh-CN"/>
              </w:rPr>
            </w:pPr>
            <w:r>
              <w:rPr>
                <w:rFonts w:hint="eastAsia"/>
                <w:vertAlign w:val="baseline"/>
                <w:lang w:val="en-US" w:eastAsia="zh-CN"/>
              </w:rPr>
              <w:t>建设经营方案（40分）</w:t>
            </w:r>
          </w:p>
        </w:tc>
        <w:tc>
          <w:tcPr>
            <w:tcW w:w="720" w:type="dxa"/>
          </w:tcPr>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项目建设规划</w:t>
            </w:r>
          </w:p>
        </w:tc>
        <w:tc>
          <w:tcPr>
            <w:tcW w:w="765" w:type="dxa"/>
          </w:tcPr>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 分</w:t>
            </w:r>
          </w:p>
        </w:tc>
        <w:tc>
          <w:tcPr>
            <w:tcW w:w="5955" w:type="dxa"/>
          </w:tcPr>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对</w:t>
            </w:r>
            <w:r>
              <w:rPr>
                <w:rFonts w:hint="eastAsia"/>
                <w:color w:val="000000" w:themeColor="text1"/>
                <w:lang w:val="en-US" w:eastAsia="zh-CN"/>
                <w14:textFill>
                  <w14:solidFill>
                    <w14:schemeClr w14:val="tx1"/>
                  </w14:solidFill>
                </w14:textFill>
              </w:rPr>
              <w:t>滨海/文旅</w:t>
            </w:r>
            <w:r>
              <w:rPr>
                <w:rFonts w:hint="default"/>
                <w:color w:val="000000" w:themeColor="text1"/>
                <w:lang w:val="en-US" w:eastAsia="zh-CN"/>
                <w14:textFill>
                  <w14:solidFill>
                    <w14:schemeClr w14:val="tx1"/>
                  </w14:solidFill>
                </w14:textFill>
              </w:rPr>
              <w:t>项目建设进行详细、合理的规划，包括场地布局、设施选型、施工进度安排等，规划符合</w:t>
            </w:r>
            <w:r>
              <w:rPr>
                <w:rFonts w:hint="eastAsia"/>
                <w:color w:val="000000" w:themeColor="text1"/>
                <w:lang w:val="en-US" w:eastAsia="zh-CN"/>
                <w14:textFill>
                  <w14:solidFill>
                    <w14:schemeClr w14:val="tx1"/>
                  </w14:solidFill>
                </w14:textFill>
              </w:rPr>
              <w:t>大飞沙湾</w:t>
            </w:r>
            <w:r>
              <w:rPr>
                <w:rFonts w:hint="default"/>
                <w:color w:val="000000" w:themeColor="text1"/>
                <w:lang w:val="en-US" w:eastAsia="zh-CN"/>
                <w14:textFill>
                  <w14:solidFill>
                    <w14:schemeClr w14:val="tx1"/>
                  </w14:solidFill>
                </w14:textFill>
              </w:rPr>
              <w:t>整体环境和安全要求，得 8 - 10 分；</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项目建设规划较合理，但存在一些细节问题或考虑不够周全，得 5 - 7 分；</w:t>
            </w:r>
          </w:p>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项目建设规划简单，缺乏具体内容和深度，得 1 - 4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经营策略</w:t>
            </w:r>
          </w:p>
        </w:tc>
        <w:tc>
          <w:tcPr>
            <w:tcW w:w="765" w:type="dxa"/>
          </w:tcPr>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 分</w:t>
            </w:r>
          </w:p>
        </w:tc>
        <w:tc>
          <w:tcPr>
            <w:tcW w:w="5955" w:type="dxa"/>
          </w:tcPr>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提出具有创新性和市场竞争力的经营策略，包括项目定位、目标客户群体分析、营销推广计划、盈利模式等，经营策略具有较强的可行性和可持续性，得 8 - 10 分；</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经营策略合理，但创新性和市场竞争力一般，得 5 - 7 分；</w:t>
            </w:r>
          </w:p>
          <w:p>
            <w:pPr>
              <w:rPr>
                <w:rFonts w:hint="default"/>
                <w:color w:val="000000" w:themeColor="text1"/>
                <w:vertAlign w:val="baseli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经营策略缺乏明确思路和具体措施，得 1 - 4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lang w:val="en-US" w:eastAsia="zh-CN"/>
              </w:rPr>
            </w:pPr>
            <w:r>
              <w:rPr>
                <w:rFonts w:hint="eastAsia"/>
                <w:lang w:val="en-US" w:eastAsia="zh-CN"/>
              </w:rPr>
              <w:t>投资规模</w:t>
            </w:r>
          </w:p>
        </w:tc>
        <w:tc>
          <w:tcPr>
            <w:tcW w:w="765" w:type="dxa"/>
          </w:tcPr>
          <w:p>
            <w:pPr>
              <w:rPr>
                <w:rFonts w:hint="default"/>
                <w:lang w:val="en-US" w:eastAsia="zh-CN"/>
              </w:rPr>
            </w:pPr>
            <w:r>
              <w:rPr>
                <w:rFonts w:hint="eastAsia"/>
                <w:lang w:val="en-US" w:eastAsia="zh-CN"/>
              </w:rPr>
              <w:t>15分</w:t>
            </w:r>
          </w:p>
        </w:tc>
        <w:tc>
          <w:tcPr>
            <w:tcW w:w="5955" w:type="dxa"/>
          </w:tcPr>
          <w:p>
            <w:pPr>
              <w:rPr>
                <w:rFonts w:hint="default"/>
                <w:lang w:val="en-US" w:eastAsia="zh-CN"/>
              </w:rPr>
            </w:pPr>
            <w:r>
              <w:rPr>
                <w:rFonts w:hint="eastAsia"/>
                <w:lang w:val="en-US" w:eastAsia="zh-CN"/>
              </w:rPr>
              <w:t>投资规模在100</w:t>
            </w:r>
            <w:r>
              <w:rPr>
                <w:rFonts w:hint="default"/>
                <w:lang w:val="en-US" w:eastAsia="zh-CN"/>
              </w:rPr>
              <w:t>万元及以上的，得 5 分；</w:t>
            </w:r>
          </w:p>
          <w:p>
            <w:pPr>
              <w:rPr>
                <w:rFonts w:hint="default"/>
                <w:lang w:val="en-US" w:eastAsia="zh-CN"/>
              </w:rPr>
            </w:pPr>
            <w:r>
              <w:rPr>
                <w:rFonts w:hint="default"/>
                <w:lang w:val="en-US" w:eastAsia="zh-CN"/>
              </w:rPr>
              <w:t>其他</w:t>
            </w:r>
            <w:r>
              <w:rPr>
                <w:rFonts w:hint="eastAsia"/>
                <w:lang w:val="en-US" w:eastAsia="zh-CN"/>
              </w:rPr>
              <w:t>意向合作单位</w:t>
            </w:r>
            <w:r>
              <w:rPr>
                <w:rFonts w:hint="default"/>
                <w:lang w:val="en-US" w:eastAsia="zh-CN"/>
              </w:rPr>
              <w:t>的价格分按照下列公式计算：得分 =（</w:t>
            </w:r>
            <w:r>
              <w:rPr>
                <w:rFonts w:hint="eastAsia"/>
                <w:lang w:val="en-US" w:eastAsia="zh-CN"/>
              </w:rPr>
              <w:t>投资规模/100万</w:t>
            </w:r>
            <w:r>
              <w:rPr>
                <w:rFonts w:hint="default"/>
                <w:lang w:val="en-US" w:eastAsia="zh-CN"/>
              </w:rPr>
              <w:t xml:space="preserve">）× </w:t>
            </w:r>
            <w:r>
              <w:rPr>
                <w:rFonts w:hint="eastAsia"/>
                <w:lang w:val="en-US" w:eastAsia="zh-CN"/>
              </w:rPr>
              <w:t>10</w:t>
            </w:r>
            <w:r>
              <w:rPr>
                <w:rFonts w:hint="default"/>
                <w:lang w:val="en-US" w:eastAsia="zh-CN"/>
              </w:rPr>
              <w:t xml:space="preserve"> 。</w:t>
            </w:r>
          </w:p>
          <w:p>
            <w:pPr>
              <w:rPr>
                <w:rFonts w:hint="default"/>
                <w:lang w:val="en-US" w:eastAsia="zh-CN"/>
              </w:rPr>
            </w:pPr>
            <w:r>
              <w:rPr>
                <w:rFonts w:hint="default"/>
                <w:lang w:val="en-US" w:eastAsia="zh-CN"/>
              </w:rPr>
              <w:t>注：需</w:t>
            </w:r>
            <w:r>
              <w:rPr>
                <w:rFonts w:hint="eastAsia"/>
                <w:lang w:val="en-US" w:eastAsia="zh-CN"/>
              </w:rPr>
              <w:t>在方案中写明投资规模，签署合同时方案将作为附件，后续应在一年内完成承诺投入（有相应的采购合同或者发票等佐证材料），否则视为根本违约。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jc w:val="center"/>
              <w:rPr>
                <w:rFonts w:hint="default"/>
                <w:vertAlign w:val="baseline"/>
                <w:lang w:val="en-US" w:eastAsia="zh-CN"/>
              </w:rPr>
            </w:pPr>
            <w:r>
              <w:rPr>
                <w:rFonts w:hint="default"/>
                <w:lang w:val="en-US" w:eastAsia="zh-CN"/>
              </w:rPr>
              <w:t>服务质量保障</w:t>
            </w:r>
          </w:p>
        </w:tc>
        <w:tc>
          <w:tcPr>
            <w:tcW w:w="765" w:type="dxa"/>
          </w:tcPr>
          <w:p>
            <w:pPr>
              <w:rPr>
                <w:rFonts w:hint="default"/>
                <w:vertAlign w:val="baseline"/>
                <w:lang w:val="en-US" w:eastAsia="zh-CN"/>
              </w:rPr>
            </w:pPr>
            <w:r>
              <w:rPr>
                <w:rFonts w:hint="eastAsia"/>
                <w:lang w:val="en-US" w:eastAsia="zh-CN"/>
              </w:rPr>
              <w:t>5</w:t>
            </w:r>
            <w:r>
              <w:rPr>
                <w:rFonts w:hint="default"/>
                <w:lang w:val="en-US" w:eastAsia="zh-CN"/>
              </w:rPr>
              <w:t xml:space="preserve"> 分</w:t>
            </w:r>
          </w:p>
        </w:tc>
        <w:tc>
          <w:tcPr>
            <w:tcW w:w="5955" w:type="dxa"/>
          </w:tcPr>
          <w:p>
            <w:pPr>
              <w:rPr>
                <w:rFonts w:hint="default"/>
                <w:lang w:val="en-US" w:eastAsia="zh-CN"/>
              </w:rPr>
            </w:pPr>
            <w:r>
              <w:rPr>
                <w:rFonts w:hint="default"/>
                <w:lang w:val="en-US" w:eastAsia="zh-CN"/>
              </w:rPr>
              <w:t>制定完善的服务质量保障体系，包括服务标准、人员培训、客户反馈处理机制等，能有效提升游客满意度，得 8 - 10 分；</w:t>
            </w:r>
          </w:p>
          <w:p>
            <w:pPr>
              <w:rPr>
                <w:rFonts w:hint="default"/>
                <w:lang w:val="en-US" w:eastAsia="zh-CN"/>
              </w:rPr>
            </w:pPr>
            <w:r>
              <w:rPr>
                <w:rFonts w:hint="default"/>
                <w:lang w:val="en-US" w:eastAsia="zh-CN"/>
              </w:rPr>
              <w:t>服务质量保障体系较完善，但存在一些薄弱环节，得 5 - 7 分；</w:t>
            </w:r>
          </w:p>
          <w:p>
            <w:pPr>
              <w:rPr>
                <w:rFonts w:hint="default"/>
                <w:vertAlign w:val="baseline"/>
                <w:lang w:val="en-US" w:eastAsia="zh-CN"/>
              </w:rPr>
            </w:pPr>
            <w:r>
              <w:rPr>
                <w:rFonts w:hint="default"/>
                <w:lang w:val="en-US" w:eastAsia="zh-CN"/>
              </w:rPr>
              <w:t>服务质量保障体系不健全，缺乏具体措施，得 1 - 4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rPr>
                <w:rFonts w:hint="default"/>
                <w:vertAlign w:val="baseline"/>
                <w:lang w:val="en-US" w:eastAsia="zh-CN"/>
              </w:rPr>
            </w:pPr>
          </w:p>
        </w:tc>
        <w:tc>
          <w:tcPr>
            <w:tcW w:w="837" w:type="dxa"/>
            <w:vMerge w:val="restart"/>
          </w:tcPr>
          <w:p>
            <w:pPr>
              <w:rPr>
                <w:rFonts w:hint="default"/>
                <w:vertAlign w:val="baseline"/>
                <w:lang w:val="en-US" w:eastAsia="zh-CN"/>
              </w:rPr>
            </w:pPr>
            <w:r>
              <w:rPr>
                <w:rFonts w:hint="eastAsia"/>
                <w:vertAlign w:val="baseline"/>
                <w:lang w:val="en-US" w:eastAsia="zh-CN"/>
              </w:rPr>
              <w:t>商务条款（30分）</w:t>
            </w:r>
          </w:p>
        </w:tc>
        <w:tc>
          <w:tcPr>
            <w:tcW w:w="720" w:type="dxa"/>
          </w:tcPr>
          <w:p>
            <w:pPr>
              <w:jc w:val="center"/>
              <w:rPr>
                <w:rFonts w:hint="default"/>
                <w:vertAlign w:val="baseline"/>
                <w:lang w:val="en-US" w:eastAsia="zh-CN"/>
              </w:rPr>
            </w:pPr>
            <w:r>
              <w:rPr>
                <w:rFonts w:hint="eastAsia"/>
                <w:lang w:val="en-US" w:eastAsia="zh-CN"/>
              </w:rPr>
              <w:t>保底金额报价</w:t>
            </w:r>
          </w:p>
        </w:tc>
        <w:tc>
          <w:tcPr>
            <w:tcW w:w="765" w:type="dxa"/>
          </w:tcPr>
          <w:p>
            <w:pPr>
              <w:rPr>
                <w:rFonts w:hint="default"/>
                <w:vertAlign w:val="baseline"/>
                <w:lang w:val="en-US" w:eastAsia="zh-CN"/>
              </w:rPr>
            </w:pPr>
            <w:r>
              <w:rPr>
                <w:rFonts w:hint="eastAsia"/>
                <w:lang w:val="en-US" w:eastAsia="zh-CN"/>
              </w:rPr>
              <w:t>15</w:t>
            </w:r>
            <w:r>
              <w:rPr>
                <w:rFonts w:hint="default"/>
                <w:lang w:val="en-US" w:eastAsia="zh-CN"/>
              </w:rPr>
              <w:t>分</w:t>
            </w:r>
          </w:p>
        </w:tc>
        <w:tc>
          <w:tcPr>
            <w:tcW w:w="5955" w:type="dxa"/>
          </w:tcPr>
          <w:p>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的最低保底</w:t>
            </w:r>
            <w:r>
              <w:rPr>
                <w:rFonts w:hint="default"/>
                <w:lang w:val="en-US" w:eastAsia="zh-CN"/>
              </w:rPr>
              <w:t>报价为评</w:t>
            </w:r>
            <w:r>
              <w:rPr>
                <w:rFonts w:hint="eastAsia"/>
                <w:lang w:val="en-US" w:eastAsia="zh-CN"/>
              </w:rPr>
              <w:t>分</w:t>
            </w:r>
            <w:r>
              <w:rPr>
                <w:rFonts w:hint="default"/>
                <w:lang w:val="en-US" w:eastAsia="zh-CN"/>
              </w:rPr>
              <w:t>基准价</w:t>
            </w:r>
            <w:r>
              <w:rPr>
                <w:rFonts w:hint="eastAsia"/>
                <w:lang w:val="en-US" w:eastAsia="zh-CN"/>
              </w:rPr>
              <w:t>150万元</w:t>
            </w:r>
            <w:r>
              <w:rPr>
                <w:rFonts w:hint="default"/>
                <w:lang w:val="en-US" w:eastAsia="zh-CN"/>
              </w:rPr>
              <w:t>，其价格分为</w:t>
            </w:r>
            <w:r>
              <w:rPr>
                <w:rFonts w:hint="eastAsia"/>
                <w:lang w:val="en-US" w:eastAsia="zh-CN"/>
              </w:rPr>
              <w:t>5</w:t>
            </w:r>
            <w:r>
              <w:rPr>
                <w:rFonts w:hint="default"/>
                <w:lang w:val="en-US" w:eastAsia="zh-CN"/>
              </w:rPr>
              <w:t xml:space="preserve"> 分。</w:t>
            </w:r>
            <w:r>
              <w:rPr>
                <w:rFonts w:hint="eastAsia"/>
                <w:lang w:val="en-US" w:eastAsia="zh-CN"/>
              </w:rPr>
              <w:t>低于150万元不得分。超过150万元（含150万元）得满分15分。</w:t>
            </w:r>
          </w:p>
          <w:p>
            <w:pPr>
              <w:rPr>
                <w:rFonts w:hint="default"/>
                <w:vertAlign w:val="baseline"/>
                <w:lang w:val="en-US" w:eastAsia="zh-CN"/>
              </w:rPr>
            </w:pPr>
            <w:r>
              <w:rPr>
                <w:rFonts w:hint="default"/>
                <w:lang w:val="en-US" w:eastAsia="zh-CN"/>
              </w:rPr>
              <w:t>价格分按照下列公式计算：报价得分 =</w:t>
            </w:r>
            <w:r>
              <w:rPr>
                <w:rFonts w:hint="eastAsia"/>
                <w:lang w:val="en-US" w:eastAsia="zh-CN"/>
              </w:rPr>
              <w:t>5+</w:t>
            </w:r>
            <w:r>
              <w:rPr>
                <w:rFonts w:hint="default"/>
                <w:lang w:val="en-US" w:eastAsia="zh-CN"/>
              </w:rPr>
              <w:t>（</w:t>
            </w:r>
            <w:r>
              <w:rPr>
                <w:rFonts w:hint="eastAsia"/>
                <w:lang w:val="en-US" w:eastAsia="zh-CN"/>
              </w:rPr>
              <w:t>保底金额-150万</w:t>
            </w:r>
            <w:r>
              <w:rPr>
                <w:rFonts w:hint="default"/>
                <w:lang w:val="en-US" w:eastAsia="zh-CN"/>
              </w:rPr>
              <w:t xml:space="preserve"> / </w:t>
            </w:r>
            <w:r>
              <w:rPr>
                <w:rFonts w:hint="eastAsia"/>
                <w:lang w:val="en-US" w:eastAsia="zh-CN"/>
              </w:rPr>
              <w:t>40万</w:t>
            </w:r>
            <w:r>
              <w:rPr>
                <w:rFonts w:hint="default"/>
                <w:lang w:val="en-US" w:eastAsia="zh-CN"/>
              </w:rPr>
              <w:t xml:space="preserve">）× </w:t>
            </w:r>
            <w:r>
              <w:rPr>
                <w:rFonts w:hint="eastAsia"/>
                <w:lang w:val="en-US" w:eastAsia="zh-CN"/>
              </w:rPr>
              <w:t>10</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rPr>
                <w:rFonts w:hint="default"/>
                <w:vertAlign w:val="baseline"/>
                <w:lang w:val="en-US" w:eastAsia="zh-CN"/>
              </w:rPr>
            </w:pPr>
          </w:p>
        </w:tc>
        <w:tc>
          <w:tcPr>
            <w:tcW w:w="837" w:type="dxa"/>
            <w:vMerge w:val="continue"/>
          </w:tcPr>
          <w:p>
            <w:pPr>
              <w:rPr>
                <w:rFonts w:hint="eastAsia"/>
                <w:vertAlign w:val="baseline"/>
                <w:lang w:val="en-US" w:eastAsia="zh-CN"/>
              </w:rPr>
            </w:pPr>
          </w:p>
        </w:tc>
        <w:tc>
          <w:tcPr>
            <w:tcW w:w="720" w:type="dxa"/>
          </w:tcPr>
          <w:p>
            <w:pPr>
              <w:rPr>
                <w:rFonts w:hint="default"/>
                <w:lang w:val="en-US" w:eastAsia="zh-CN"/>
              </w:rPr>
            </w:pPr>
            <w:r>
              <w:rPr>
                <w:rFonts w:hint="eastAsia"/>
                <w:lang w:val="en-US" w:eastAsia="zh-CN"/>
              </w:rPr>
              <w:t>分成比例</w:t>
            </w:r>
          </w:p>
        </w:tc>
        <w:tc>
          <w:tcPr>
            <w:tcW w:w="765" w:type="dxa"/>
          </w:tcPr>
          <w:p>
            <w:pPr>
              <w:rPr>
                <w:rFonts w:hint="default"/>
                <w:lang w:val="en-US" w:eastAsia="zh-CN"/>
              </w:rPr>
            </w:pPr>
            <w:r>
              <w:rPr>
                <w:rFonts w:hint="eastAsia"/>
                <w:lang w:val="en-US" w:eastAsia="zh-CN"/>
              </w:rPr>
              <w:t>15分</w:t>
            </w:r>
          </w:p>
        </w:tc>
        <w:tc>
          <w:tcPr>
            <w:tcW w:w="5955" w:type="dxa"/>
          </w:tcPr>
          <w:p>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w:t>
            </w:r>
            <w:r>
              <w:rPr>
                <w:rFonts w:hint="default"/>
                <w:lang w:val="en-US" w:eastAsia="zh-CN"/>
              </w:rPr>
              <w:t>最低</w:t>
            </w:r>
            <w:r>
              <w:rPr>
                <w:rFonts w:hint="eastAsia"/>
                <w:lang w:val="en-US" w:eastAsia="zh-CN"/>
              </w:rPr>
              <w:t>分成比例</w:t>
            </w:r>
            <w:r>
              <w:rPr>
                <w:rFonts w:hint="default"/>
                <w:lang w:val="en-US" w:eastAsia="zh-CN"/>
              </w:rPr>
              <w:t>为评</w:t>
            </w:r>
            <w:r>
              <w:rPr>
                <w:rFonts w:hint="eastAsia"/>
                <w:lang w:val="en-US" w:eastAsia="zh-CN"/>
              </w:rPr>
              <w:t>分</w:t>
            </w:r>
            <w:r>
              <w:rPr>
                <w:rFonts w:hint="default"/>
                <w:lang w:val="en-US" w:eastAsia="zh-CN"/>
              </w:rPr>
              <w:t>基准</w:t>
            </w:r>
            <w:r>
              <w:rPr>
                <w:rFonts w:hint="eastAsia"/>
                <w:lang w:val="en-US" w:eastAsia="zh-CN"/>
              </w:rPr>
              <w:t>12%</w:t>
            </w:r>
            <w:r>
              <w:rPr>
                <w:rFonts w:hint="default"/>
                <w:lang w:val="en-US" w:eastAsia="zh-CN"/>
              </w:rPr>
              <w:t>，其价格分为</w:t>
            </w:r>
            <w:r>
              <w:rPr>
                <w:rFonts w:hint="eastAsia"/>
                <w:lang w:val="en-US" w:eastAsia="zh-CN"/>
              </w:rPr>
              <w:t>5</w:t>
            </w:r>
            <w:r>
              <w:rPr>
                <w:rFonts w:hint="default"/>
                <w:lang w:val="en-US" w:eastAsia="zh-CN"/>
              </w:rPr>
              <w:t>分。</w:t>
            </w:r>
            <w:r>
              <w:rPr>
                <w:rFonts w:hint="eastAsia"/>
                <w:lang w:val="en-US" w:eastAsia="zh-CN"/>
              </w:rPr>
              <w:t>低于12%不得分。超过30%得满分15分。</w:t>
            </w:r>
          </w:p>
          <w:p>
            <w:pPr>
              <w:rPr>
                <w:rFonts w:hint="default"/>
                <w:lang w:val="en-US" w:eastAsia="zh-CN"/>
              </w:rPr>
            </w:pPr>
            <w:r>
              <w:rPr>
                <w:rFonts w:hint="default"/>
                <w:lang w:val="en-US" w:eastAsia="zh-CN"/>
              </w:rPr>
              <w:t>价格分按照下列公式计算：</w:t>
            </w:r>
            <w:r>
              <w:rPr>
                <w:rFonts w:hint="eastAsia"/>
                <w:lang w:val="en-US" w:eastAsia="zh-CN"/>
              </w:rPr>
              <w:t>分成比例</w:t>
            </w:r>
            <w:r>
              <w:rPr>
                <w:rFonts w:hint="default"/>
                <w:lang w:val="en-US" w:eastAsia="zh-CN"/>
              </w:rPr>
              <w:t>得分 =</w:t>
            </w:r>
            <w:r>
              <w:rPr>
                <w:rFonts w:hint="eastAsia"/>
                <w:lang w:val="en-US" w:eastAsia="zh-CN"/>
              </w:rPr>
              <w:t>5+</w:t>
            </w:r>
            <w:r>
              <w:rPr>
                <w:rFonts w:hint="default"/>
                <w:lang w:val="en-US" w:eastAsia="zh-CN"/>
              </w:rPr>
              <w:t>（</w:t>
            </w:r>
            <w:r>
              <w:rPr>
                <w:rFonts w:hint="eastAsia"/>
                <w:lang w:val="en-US" w:eastAsia="zh-CN"/>
              </w:rPr>
              <w:t>分成比例-15%</w:t>
            </w:r>
            <w:r>
              <w:rPr>
                <w:rFonts w:hint="default"/>
                <w:lang w:val="en-US" w:eastAsia="zh-CN"/>
              </w:rPr>
              <w:t xml:space="preserve">/ </w:t>
            </w:r>
            <w:r>
              <w:rPr>
                <w:rFonts w:hint="eastAsia"/>
                <w:lang w:val="en-US" w:eastAsia="zh-CN"/>
              </w:rPr>
              <w:t>15%</w:t>
            </w:r>
            <w:r>
              <w:rPr>
                <w:rFonts w:hint="default"/>
                <w:lang w:val="en-US" w:eastAsia="zh-CN"/>
              </w:rPr>
              <w:t xml:space="preserve">）× </w:t>
            </w:r>
            <w:r>
              <w:rPr>
                <w:rFonts w:hint="eastAsia"/>
                <w:lang w:val="en-US" w:eastAsia="zh-CN"/>
              </w:rPr>
              <w:t>10</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gridSpan w:val="5"/>
          </w:tcPr>
          <w:p>
            <w:pPr>
              <w:jc w:val="center"/>
              <w:rPr>
                <w:rFonts w:hint="default"/>
                <w:vertAlign w:val="baseline"/>
                <w:lang w:val="en-US" w:eastAsia="zh-CN"/>
              </w:rPr>
            </w:pPr>
            <w:r>
              <w:rPr>
                <w:rFonts w:hint="eastAsia"/>
                <w:vertAlign w:val="baseline"/>
                <w:lang w:val="en-US" w:eastAsia="zh-CN"/>
              </w:rPr>
              <w:t>总分100分</w:t>
            </w:r>
          </w:p>
        </w:tc>
      </w:tr>
    </w:tbl>
    <w:p>
      <w:pPr>
        <w:rPr>
          <w:rFonts w:hint="default"/>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各评委独立打分，最后汇总计算平均得分作为各意向合作单位的最终得分。若出现得分相同的情况，以报价低者优先；若报价相同，则以建设经营方案得分高者优先。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评分小组有权要求意向合作单位对招商文件中的有关问题进行澄清或说明，但澄清或说明的内容不得超出招商文件的范围或改变招商文件的实质性内容。</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黑体" w:hAnsi="黑体" w:eastAsia="黑体" w:cs="黑体"/>
          <w:sz w:val="22"/>
          <w:szCs w:val="22"/>
          <w:lang w:val="en-US" w:eastAsia="zh-CN"/>
        </w:rPr>
      </w:pP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19166B-AD68-451E-A054-EE5685636D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E6921EA-8842-415D-BFBE-BFA54C504662}"/>
  </w:font>
  <w:font w:name="仿宋_GB2312">
    <w:panose1 w:val="02010609030101010101"/>
    <w:charset w:val="86"/>
    <w:family w:val="auto"/>
    <w:pitch w:val="default"/>
    <w:sig w:usb0="00000001" w:usb1="080E0000" w:usb2="00000000" w:usb3="00000000" w:csb0="00040000" w:csb1="00000000"/>
    <w:embedRegular r:id="rId3" w:fontKey="{9FFD732E-B85E-455A-A217-9FC63272E3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MjdhZDZmNjQzOTgyMzhhNDlmY2FiN2Q1N2Y4ODAifQ=="/>
  </w:docVars>
  <w:rsids>
    <w:rsidRoot w:val="1A325DA6"/>
    <w:rsid w:val="017E3195"/>
    <w:rsid w:val="1A325DA6"/>
    <w:rsid w:val="294A4553"/>
    <w:rsid w:val="2A2B1366"/>
    <w:rsid w:val="30CA76BA"/>
    <w:rsid w:val="37B12955"/>
    <w:rsid w:val="394434DD"/>
    <w:rsid w:val="3C092159"/>
    <w:rsid w:val="3E270C83"/>
    <w:rsid w:val="3F2E373C"/>
    <w:rsid w:val="43D610C2"/>
    <w:rsid w:val="50446DA2"/>
    <w:rsid w:val="57C82E1B"/>
    <w:rsid w:val="6370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1709</Characters>
  <Lines>0</Lines>
  <Paragraphs>0</Paragraphs>
  <TotalTime>7</TotalTime>
  <ScaleCrop>false</ScaleCrop>
  <LinksUpToDate>false</LinksUpToDate>
  <CharactersWithSpaces>1799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2025-03-26T09:17:00Z</dcterms:created>
  <dc:creator>二狗</dc:creator>
  <cp:lastModifiedBy>王旷男</cp:lastModifiedBy>
  <cp:lastPrinted>2025-04-08T10:31:00Z</cp:lastPrinted>
  <dcterms:modified xsi:type="dcterms:W3CDTF">2025-10-31T03:20:18Z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7BFCE66DB9724512A2B539E142D06397_13</vt:lpwstr>
  </property>
  <property fmtid="{D5CDD505-2E9C-101B-9397-08002B2CF9AE}" pid="4" name="KSOTemplateDocerSaveRecord">
    <vt:lpwstr>eyJoZGlkIjoiNTI5ODIyMjdlMzRjYmFmMjUyOTBiNTM2NGE4MjU5YjMiLCJ1c2VySWQiOiI3OTU0OTgwOTIifQ==</vt:lpwstr>
  </property>
</Properties>
</file>